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AF3A92B" w:rsidR="005A7127" w:rsidRPr="00FC3F8A" w:rsidRDefault="0026208D" w:rsidP="0026208D">
      <w:hyperlink r:id="rId7" w:history="1">
        <w:r w:rsidRPr="00EE706E">
          <w:rPr>
            <w:rStyle w:val="Collegamentoipertestuale"/>
          </w:rPr>
          <w:t>https://it.marketscreener.com/quotazioni/divise/EURO-US-DOLLAR-EUR-USD-4591/attualita/Panetta-della-BCE-vede-un-impatto-limitato-sull-inflazione-dall-aumento-delle-tariffe-statunitensi-49071439/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7682C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it.marketscreener.com/quotazioni/divise/EURO-US-DOLLAR-EUR-USD-4591/attualita/Panetta-della-BCE-vede-un-impatto-limitato-sull-inflazione-dall-aumento-delle-tariffe-statunitensi-49071439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2025-02-24T13:12:00Z</dcterms:created>
  <dcterms:modified xsi:type="dcterms:W3CDTF">2025-02-24T13:12:00Z</dcterms:modified>
</cp:coreProperties>
</file>